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99D12">
      <w:pPr>
        <w:spacing w:before="156" w:beforeLines="50" w:after="100" w:afterAutospacing="1"/>
        <w:jc w:val="left"/>
        <w:rPr>
          <w:rFonts w:eastAsia="仿宋_GB2312"/>
          <w:color w:val="000000"/>
          <w:sz w:val="32"/>
        </w:rPr>
      </w:pPr>
      <w:r>
        <w:rPr>
          <w:rFonts w:hint="eastAsia" w:eastAsia="仿宋_GB2312"/>
          <w:color w:val="000000"/>
          <w:sz w:val="32"/>
        </w:rPr>
        <w:t xml:space="preserve">附件1 </w:t>
      </w:r>
    </w:p>
    <w:p w14:paraId="71837BDB">
      <w:pPr>
        <w:keepNext w:val="0"/>
        <w:keepLines w:val="0"/>
        <w:pageBreakBefore w:val="0"/>
        <w:widowControl w:val="0"/>
        <w:wordWrap/>
        <w:overflowPunct/>
        <w:topLinePunct w:val="0"/>
        <w:autoSpaceDE/>
        <w:autoSpaceDN/>
        <w:bidi w:val="0"/>
        <w:adjustRightInd/>
        <w:snapToGrid/>
        <w:spacing w:line="240" w:lineRule="auto"/>
        <w:ind w:left="0" w:leftChars="0"/>
        <w:jc w:val="center"/>
        <w:rPr>
          <w:rFonts w:hint="eastAsia" w:ascii="Times New Roman" w:hAnsi="Times New Roman" w:cs="Times New Roman"/>
          <w:b/>
          <w:sz w:val="36"/>
          <w:szCs w:val="36"/>
          <w:lang w:val="en-US" w:eastAsia="zh-CN"/>
        </w:rPr>
      </w:pPr>
      <w:r>
        <w:rPr>
          <w:rFonts w:hint="eastAsia" w:ascii="Times New Roman" w:hAnsi="Times New Roman" w:cs="Times New Roman"/>
          <w:b/>
          <w:sz w:val="36"/>
          <w:szCs w:val="36"/>
          <w:lang w:val="en-US" w:eastAsia="zh-CN"/>
        </w:rPr>
        <w:t>2025年光大环保能源（三亚）有限公司（三亚市生活垃圾焚烧发电厂）废气排放（二噁英）辅助监测方案</w:t>
      </w:r>
    </w:p>
    <w:p w14:paraId="4CC4B60D">
      <w:pPr>
        <w:spacing w:line="560" w:lineRule="exact"/>
        <w:ind w:firstLine="643" w:firstLineChars="200"/>
        <w:rPr>
          <w:rFonts w:hint="eastAsia" w:ascii="仿宋_GB2312" w:hAnsi="仿宋_GB2312" w:eastAsia="仿宋_GB2312" w:cs="仿宋_GB2312"/>
          <w:b/>
          <w:sz w:val="32"/>
          <w:szCs w:val="32"/>
        </w:rPr>
      </w:pPr>
    </w:p>
    <w:p w14:paraId="131D8622">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一、任务来源</w:t>
      </w:r>
    </w:p>
    <w:p w14:paraId="01C0F3F5">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据《202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年三亚市生态环境监测方案》要求，对光大环保能源（三亚）有限公司（三亚市生活垃圾焚烧发电厂）废气排放（二噁英）开展辅助监测。</w:t>
      </w:r>
    </w:p>
    <w:p w14:paraId="10779CC4">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二、监测点位及监测项目</w:t>
      </w:r>
    </w:p>
    <w:p w14:paraId="520F24D2">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1.监测点位:1#、</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#焚烧炉排放口</w:t>
      </w:r>
      <w:r>
        <w:rPr>
          <w:rFonts w:hint="eastAsia" w:ascii="仿宋_GB2312" w:hAnsi="仿宋_GB2312" w:eastAsia="仿宋_GB2312" w:cs="仿宋_GB2312"/>
          <w:bCs/>
          <w:sz w:val="32"/>
          <w:szCs w:val="32"/>
          <w:lang w:val="en-US" w:eastAsia="zh-CN"/>
        </w:rPr>
        <w:t>(如遇</w:t>
      </w:r>
      <w:r>
        <w:rPr>
          <w:rFonts w:hint="eastAsia" w:ascii="仿宋_GB2312" w:hAnsi="仿宋_GB2312" w:eastAsia="仿宋_GB2312" w:cs="仿宋_GB2312"/>
          <w:bCs/>
          <w:sz w:val="32"/>
          <w:szCs w:val="32"/>
        </w:rPr>
        <w:t>焚烧炉</w:t>
      </w:r>
      <w:r>
        <w:rPr>
          <w:rFonts w:hint="eastAsia" w:ascii="仿宋_GB2312" w:hAnsi="仿宋_GB2312" w:eastAsia="仿宋_GB2312" w:cs="仿宋_GB2312"/>
          <w:bCs/>
          <w:sz w:val="32"/>
          <w:szCs w:val="32"/>
          <w:lang w:val="en-US" w:eastAsia="zh-CN"/>
        </w:rPr>
        <w:t>停炉检修，则从2-5#</w:t>
      </w:r>
      <w:r>
        <w:rPr>
          <w:rFonts w:hint="eastAsia" w:ascii="仿宋_GB2312" w:hAnsi="仿宋_GB2312" w:eastAsia="仿宋_GB2312" w:cs="仿宋_GB2312"/>
          <w:bCs/>
          <w:sz w:val="32"/>
          <w:szCs w:val="32"/>
        </w:rPr>
        <w:t>焚烧炉</w:t>
      </w:r>
      <w:r>
        <w:rPr>
          <w:rFonts w:hint="eastAsia" w:ascii="仿宋_GB2312" w:hAnsi="仿宋_GB2312" w:eastAsia="仿宋_GB2312" w:cs="仿宋_GB2312"/>
          <w:bCs/>
          <w:sz w:val="32"/>
          <w:szCs w:val="32"/>
          <w:lang w:eastAsia="zh-CN"/>
        </w:rPr>
        <w:t>中</w:t>
      </w:r>
      <w:r>
        <w:rPr>
          <w:rFonts w:hint="eastAsia" w:ascii="仿宋_GB2312" w:hAnsi="仿宋_GB2312" w:eastAsia="仿宋_GB2312" w:cs="仿宋_GB2312"/>
          <w:bCs/>
          <w:sz w:val="32"/>
          <w:szCs w:val="32"/>
          <w:lang w:val="en-US" w:eastAsia="zh-CN"/>
        </w:rPr>
        <w:t>另行选取）</w:t>
      </w:r>
      <w:r>
        <w:rPr>
          <w:rFonts w:hint="eastAsia" w:ascii="仿宋_GB2312" w:hAnsi="仿宋_GB2312" w:eastAsia="仿宋_GB2312" w:cs="仿宋_GB2312"/>
          <w:bCs/>
          <w:sz w:val="32"/>
          <w:szCs w:val="32"/>
        </w:rPr>
        <w:t>。</w:t>
      </w:r>
    </w:p>
    <w:p w14:paraId="632E8A5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2.监测项目:</w:t>
      </w:r>
      <w:r>
        <w:rPr>
          <w:rFonts w:hint="eastAsia" w:ascii="仿宋_GB2312" w:hAnsi="仿宋_GB2312" w:eastAsia="仿宋_GB2312" w:cs="仿宋_GB2312"/>
          <w:color w:val="000000"/>
          <w:sz w:val="32"/>
          <w:szCs w:val="32"/>
        </w:rPr>
        <w:t>二噁英类。</w:t>
      </w:r>
    </w:p>
    <w:p w14:paraId="2BBE83E1">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、监测时间及频次</w:t>
      </w:r>
    </w:p>
    <w:p w14:paraId="3C4F8B7A">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2025年5</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月，监测1</w:t>
      </w:r>
      <w:r>
        <w:rPr>
          <w:rFonts w:hint="eastAsia" w:ascii="仿宋_GB2312" w:hAnsi="仿宋_GB2312" w:eastAsia="仿宋_GB2312" w:cs="仿宋_GB2312"/>
          <w:bCs/>
          <w:sz w:val="32"/>
          <w:szCs w:val="32"/>
          <w:lang w:val="en-US" w:eastAsia="zh-CN"/>
        </w:rPr>
        <w:t>次</w:t>
      </w:r>
      <w:r>
        <w:rPr>
          <w:rFonts w:hint="eastAsia" w:ascii="仿宋_GB2312" w:hAnsi="仿宋_GB2312" w:eastAsia="仿宋_GB2312" w:cs="仿宋_GB2312"/>
          <w:bCs/>
          <w:sz w:val="32"/>
          <w:szCs w:val="32"/>
        </w:rPr>
        <w:t>，非连续采样至少3个样。</w:t>
      </w:r>
    </w:p>
    <w:p w14:paraId="34379020">
      <w:pPr>
        <w:numPr>
          <w:ilvl w:val="0"/>
          <w:numId w:val="1"/>
        </w:numPr>
        <w:ind w:right="96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评价</w:t>
      </w:r>
      <w:r>
        <w:rPr>
          <w:rFonts w:hint="eastAsia" w:ascii="仿宋_GB2312" w:hAnsi="仿宋_GB2312" w:eastAsia="仿宋_GB2312" w:cs="仿宋_GB2312"/>
          <w:b/>
          <w:sz w:val="32"/>
          <w:szCs w:val="32"/>
        </w:rPr>
        <w:t>标准</w:t>
      </w:r>
    </w:p>
    <w:p w14:paraId="352A0951">
      <w:pPr>
        <w:numPr>
          <w:ilvl w:val="0"/>
          <w:numId w:val="0"/>
        </w:numPr>
        <w:ind w:right="96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《生活垃圾污染控制标准》DB48/484-2019。</w:t>
      </w:r>
    </w:p>
    <w:p w14:paraId="798426D0">
      <w:pPr>
        <w:numPr>
          <w:ilvl w:val="0"/>
          <w:numId w:val="1"/>
        </w:numPr>
        <w:ind w:right="96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lang w:val="en-US" w:eastAsia="zh-CN"/>
        </w:rPr>
        <w:t>质量控制与质量保证</w:t>
      </w:r>
    </w:p>
    <w:p w14:paraId="60F6AA4B">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1.</w:t>
      </w:r>
      <w:r>
        <w:rPr>
          <w:rFonts w:hint="eastAsia" w:ascii="仿宋_GB2312" w:hAnsi="仿宋_GB2312" w:eastAsia="仿宋_GB2312" w:cs="仿宋_GB2312"/>
          <w:bCs/>
          <w:sz w:val="32"/>
          <w:szCs w:val="32"/>
        </w:rPr>
        <w:t>按照国家有关废气监测及质量控制技术规范对污染源监测全过程进行质量控制和质量保证，确保数据真实可靠。</w:t>
      </w:r>
    </w:p>
    <w:p w14:paraId="44FCC9E3">
      <w:pPr>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2.监测工作应在正常稳定的生产状况下进行并做好工况记录。</w:t>
      </w:r>
    </w:p>
    <w:p w14:paraId="11052CDD">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监测分析方法原则上应</w:t>
      </w:r>
      <w:r>
        <w:rPr>
          <w:rFonts w:hint="eastAsia" w:hAnsi="仿宋_GB2312" w:cs="仿宋_GB2312"/>
          <w:bCs/>
          <w:sz w:val="32"/>
          <w:szCs w:val="32"/>
          <w:lang w:val="en-US" w:eastAsia="zh-CN"/>
        </w:rPr>
        <w:t>优先</w:t>
      </w:r>
      <w:r>
        <w:rPr>
          <w:rFonts w:hint="eastAsia" w:ascii="仿宋_GB2312" w:hAnsi="仿宋_GB2312" w:eastAsia="仿宋_GB2312" w:cs="仿宋_GB2312"/>
          <w:bCs/>
          <w:sz w:val="32"/>
          <w:szCs w:val="32"/>
        </w:rPr>
        <w:t>选用国家和环境保护行业监测分析方法标准。</w:t>
      </w:r>
    </w:p>
    <w:p w14:paraId="0A088503">
      <w:pPr>
        <w:ind w:right="9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       </w:t>
      </w:r>
    </w:p>
    <w:p w14:paraId="31AEFA10">
      <w:pPr>
        <w:ind w:right="960" w:firstLine="3520" w:firstLineChars="1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三亚市环境监测站</w:t>
      </w:r>
    </w:p>
    <w:p w14:paraId="410727F7">
      <w:pPr>
        <w:ind w:right="9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woUserID w:val="1"/>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woUserID w:val="1"/>
        </w:rPr>
        <w:t>4</w:t>
      </w:r>
      <w:r>
        <w:rPr>
          <w:rFonts w:hint="eastAsia" w:ascii="仿宋_GB2312" w:hAnsi="仿宋_GB2312" w:eastAsia="仿宋_GB2312" w:cs="仿宋_GB2312"/>
          <w:color w:val="000000"/>
          <w:sz w:val="32"/>
          <w:szCs w:val="32"/>
        </w:rPr>
        <w:t>月1</w:t>
      </w:r>
      <w:r>
        <w:rPr>
          <w:rFonts w:hint="eastAsia" w:ascii="仿宋_GB2312" w:hAnsi="仿宋_GB2312" w:eastAsia="仿宋_GB2312" w:cs="仿宋_GB2312"/>
          <w:color w:val="000000"/>
          <w:sz w:val="32"/>
          <w:szCs w:val="32"/>
          <w:woUserID w:val="1"/>
        </w:rPr>
        <w:t>8</w:t>
      </w:r>
      <w:r>
        <w:rPr>
          <w:rFonts w:hint="eastAsia" w:ascii="仿宋_GB2312" w:hAnsi="仿宋_GB2312" w:eastAsia="仿宋_GB2312" w:cs="仿宋_GB2312"/>
          <w:color w:val="000000"/>
          <w:sz w:val="32"/>
          <w:szCs w:val="32"/>
        </w:rPr>
        <w:t>日</w:t>
      </w:r>
    </w:p>
    <w:p w14:paraId="03AFE5B5">
      <w:pPr>
        <w:rPr>
          <w:rFonts w:hint="eastAsia" w:ascii="仿宋_GB2312" w:hAnsi="仿宋_GB2312" w:eastAsia="仿宋_GB2312" w:cs="仿宋_GB2312"/>
          <w:sz w:val="32"/>
          <w:szCs w:val="32"/>
        </w:rPr>
      </w:pPr>
    </w:p>
    <w:p w14:paraId="484014C4">
      <w:pPr>
        <w:rPr>
          <w:rFonts w:hint="eastAsia" w:ascii="仿宋_GB2312" w:hAnsi="仿宋_GB2312" w:eastAsia="仿宋_GB2312" w:cs="仿宋_GB2312"/>
          <w:sz w:val="32"/>
          <w:szCs w:val="32"/>
        </w:rPr>
      </w:pPr>
    </w:p>
    <w:p w14:paraId="0D5C8977">
      <w:pPr>
        <w:rPr>
          <w:rFonts w:hint="eastAsia" w:ascii="仿宋_GB2312" w:hAnsi="仿宋_GB2312" w:eastAsia="仿宋_GB2312" w:cs="仿宋_GB2312"/>
          <w:sz w:val="32"/>
          <w:szCs w:val="32"/>
        </w:rPr>
      </w:pPr>
    </w:p>
    <w:p w14:paraId="5FC1D32A">
      <w:pPr>
        <w:rPr>
          <w:rFonts w:hint="eastAsia" w:ascii="仿宋_GB2312" w:hAnsi="仿宋_GB2312" w:eastAsia="仿宋_GB2312" w:cs="仿宋_GB2312"/>
          <w:sz w:val="32"/>
          <w:szCs w:val="32"/>
        </w:rPr>
      </w:pPr>
    </w:p>
    <w:p w14:paraId="18E4B8C3">
      <w:pPr>
        <w:rPr>
          <w:rFonts w:hint="eastAsia" w:ascii="仿宋_GB2312" w:hAnsi="仿宋_GB2312" w:eastAsia="仿宋_GB2312" w:cs="仿宋_GB2312"/>
          <w:sz w:val="32"/>
          <w:szCs w:val="32"/>
        </w:rPr>
      </w:pPr>
    </w:p>
    <w:p w14:paraId="55F061C9">
      <w:pPr>
        <w:rPr>
          <w:rFonts w:hint="eastAsia" w:ascii="仿宋_GB2312" w:hAnsi="仿宋_GB2312" w:eastAsia="仿宋_GB2312" w:cs="仿宋_GB2312"/>
          <w:sz w:val="32"/>
          <w:szCs w:val="32"/>
        </w:rPr>
      </w:pPr>
    </w:p>
    <w:p w14:paraId="53FFF94C">
      <w:pPr>
        <w:rPr>
          <w:rFonts w:hint="eastAsia" w:ascii="仿宋_GB2312" w:hAnsi="仿宋_GB2312" w:eastAsia="仿宋_GB2312" w:cs="仿宋_GB2312"/>
          <w:sz w:val="32"/>
          <w:szCs w:val="32"/>
        </w:rPr>
      </w:pPr>
    </w:p>
    <w:p w14:paraId="747E4641">
      <w:pPr>
        <w:rPr>
          <w:rFonts w:hint="eastAsia" w:ascii="仿宋_GB2312" w:hAnsi="仿宋_GB2312" w:eastAsia="仿宋_GB2312" w:cs="仿宋_GB2312"/>
          <w:sz w:val="32"/>
          <w:szCs w:val="32"/>
        </w:rPr>
      </w:pPr>
    </w:p>
    <w:p w14:paraId="04E3C2B6">
      <w:pPr>
        <w:rPr>
          <w:rFonts w:hint="eastAsia" w:ascii="仿宋_GB2312" w:hAnsi="仿宋_GB2312" w:eastAsia="仿宋_GB2312" w:cs="仿宋_GB2312"/>
          <w:sz w:val="32"/>
          <w:szCs w:val="32"/>
        </w:rPr>
      </w:pPr>
    </w:p>
    <w:p w14:paraId="0BD8E85D">
      <w:pPr>
        <w:rPr>
          <w:rFonts w:hint="eastAsia" w:ascii="仿宋_GB2312" w:hAnsi="仿宋_GB2312" w:eastAsia="仿宋_GB2312" w:cs="仿宋_GB2312"/>
          <w:sz w:val="32"/>
          <w:szCs w:val="32"/>
        </w:rPr>
      </w:pPr>
    </w:p>
    <w:p w14:paraId="5EA63CE2">
      <w:pPr>
        <w:rPr>
          <w:rFonts w:hint="eastAsia" w:ascii="仿宋_GB2312" w:hAnsi="仿宋_GB2312" w:eastAsia="仿宋_GB2312" w:cs="仿宋_GB2312"/>
          <w:sz w:val="32"/>
          <w:szCs w:val="32"/>
        </w:rPr>
      </w:pPr>
    </w:p>
    <w:p w14:paraId="5484784E">
      <w:pPr>
        <w:keepNext w:val="0"/>
        <w:keepLines w:val="0"/>
        <w:pageBreakBefore w:val="0"/>
        <w:widowControl w:val="0"/>
        <w:wordWrap/>
        <w:overflowPunct/>
        <w:topLinePunct w:val="0"/>
        <w:autoSpaceDE/>
        <w:autoSpaceDN/>
        <w:bidi w:val="0"/>
        <w:adjustRightInd/>
        <w:snapToGrid/>
        <w:spacing w:line="240" w:lineRule="auto"/>
        <w:ind w:left="0" w:leftChars="0"/>
        <w:jc w:val="center"/>
        <w:rPr>
          <w:rFonts w:hint="eastAsia" w:ascii="Times New Roman" w:hAnsi="Times New Roman" w:cs="Times New Roman"/>
          <w:b/>
          <w:sz w:val="36"/>
          <w:szCs w:val="36"/>
        </w:rPr>
      </w:pPr>
      <w:bookmarkStart w:id="0" w:name="_Hlk169165450"/>
      <w:r>
        <w:rPr>
          <w:rFonts w:hint="eastAsia" w:ascii="Times New Roman" w:hAnsi="Times New Roman" w:cs="Times New Roman"/>
          <w:b/>
          <w:sz w:val="36"/>
          <w:szCs w:val="36"/>
          <w:lang w:val="en-US" w:eastAsia="zh-CN"/>
        </w:rPr>
        <w:t>2025年</w:t>
      </w:r>
      <w:r>
        <w:rPr>
          <w:rFonts w:hint="eastAsia" w:ascii="Times New Roman" w:hAnsi="Times New Roman" w:cs="Times New Roman"/>
          <w:b/>
          <w:sz w:val="36"/>
          <w:szCs w:val="36"/>
        </w:rPr>
        <w:t>紫金黄金科技（海南）有限公司周边土壤环境质量辅助监测方案</w:t>
      </w:r>
      <w:bookmarkEnd w:id="0"/>
    </w:p>
    <w:p w14:paraId="624052C7">
      <w:pPr>
        <w:spacing w:line="560" w:lineRule="exact"/>
        <w:ind w:firstLine="883" w:firstLineChars="200"/>
        <w:jc w:val="center"/>
        <w:rPr>
          <w:rFonts w:hint="eastAsia" w:asciiTheme="majorEastAsia" w:hAnsiTheme="majorEastAsia" w:eastAsiaTheme="majorEastAsia" w:cstheme="majorEastAsia"/>
          <w:b/>
          <w:sz w:val="44"/>
          <w:szCs w:val="44"/>
        </w:rPr>
      </w:pPr>
    </w:p>
    <w:p w14:paraId="7933EBEA">
      <w:pPr>
        <w:spacing w:after="160" w:line="560" w:lineRule="exact"/>
        <w:ind w:firstLine="643"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一、任务来源</w:t>
      </w:r>
    </w:p>
    <w:p w14:paraId="2666C6D6">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据《202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年三亚市生态环境监测方案》要求，对紫金黄金科技（海南）有限公司周边土壤环境质量开展监测。</w:t>
      </w:r>
    </w:p>
    <w:p w14:paraId="10144826">
      <w:p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二、监测点位及监测项目</w:t>
      </w:r>
    </w:p>
    <w:p w14:paraId="31EF7ED4">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1.监测点位:以废气排放口为中心，在主导风向下风向不大于60度扇形范围，距离厂界100m、100m-500m和500m-1000m的3个疑似影响区内，分别选取1个面积较大农用地地块布设</w:t>
      </w:r>
      <w:r>
        <w:rPr>
          <w:rFonts w:hint="eastAsia" w:ascii="仿宋_GB2312" w:hAnsi="仿宋_GB2312" w:eastAsia="仿宋_GB2312" w:cs="仿宋_GB2312"/>
          <w:b w:val="0"/>
          <w:bCs/>
          <w:sz w:val="32"/>
          <w:szCs w:val="32"/>
          <w:lang w:val="en-US" w:eastAsia="zh-CN"/>
        </w:rPr>
        <w:t>1个</w:t>
      </w:r>
      <w:r>
        <w:rPr>
          <w:rFonts w:hint="eastAsia" w:ascii="仿宋_GB2312" w:hAnsi="仿宋_GB2312" w:eastAsia="仿宋_GB2312" w:cs="仿宋_GB2312"/>
          <w:b w:val="0"/>
          <w:bCs/>
          <w:sz w:val="32"/>
          <w:szCs w:val="32"/>
        </w:rPr>
        <w:t>点位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共3个样品。</w:t>
      </w:r>
    </w:p>
    <w:p w14:paraId="11ABD796">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2.监测项目:包括土壤pH、有机质、镉、汞、砷、铅、铬、铜、镍、锌共10项。</w:t>
      </w:r>
    </w:p>
    <w:p w14:paraId="53808C5D">
      <w:p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三、监测时间及频次</w:t>
      </w:r>
    </w:p>
    <w:p w14:paraId="3DE356C4">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2025年5-6</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eastAsia="zh-CN"/>
        </w:rPr>
        <w:t>，</w:t>
      </w:r>
      <w:bookmarkStart w:id="1" w:name="_GoBack"/>
      <w:bookmarkEnd w:id="1"/>
      <w:r>
        <w:rPr>
          <w:rFonts w:hint="eastAsia" w:ascii="仿宋_GB2312" w:hAnsi="仿宋_GB2312" w:eastAsia="仿宋_GB2312" w:cs="仿宋_GB2312"/>
          <w:b w:val="0"/>
          <w:bCs/>
          <w:sz w:val="32"/>
          <w:szCs w:val="32"/>
        </w:rPr>
        <w:t>开展监测1次。</w:t>
      </w:r>
    </w:p>
    <w:p w14:paraId="67938B1B">
      <w:pPr>
        <w:spacing w:line="560" w:lineRule="exact"/>
        <w:ind w:firstLine="643"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四、采样方法</w:t>
      </w:r>
      <w:r>
        <w:rPr>
          <w:rFonts w:hint="eastAsia" w:ascii="仿宋_GB2312" w:hAnsi="仿宋_GB2312" w:eastAsia="仿宋_GB2312" w:cs="仿宋_GB2312"/>
          <w:b/>
          <w:bCs w:val="0"/>
          <w:sz w:val="32"/>
          <w:szCs w:val="32"/>
          <w:lang w:val="en-US" w:eastAsia="zh-CN"/>
        </w:rPr>
        <w:t>及分析方法</w:t>
      </w:r>
    </w:p>
    <w:p w14:paraId="545D12BE">
      <w:pPr>
        <w:spacing w:after="160"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lang w:val="zh-CN"/>
        </w:rPr>
        <w:t>采样方法</w:t>
      </w:r>
    </w:p>
    <w:p w14:paraId="12A55C18">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t>土壤样品采集表层（0</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zh-CN"/>
        </w:rPr>
        <w:t>20cm）土壤，应满足所选用分析方法规定的采样要求。相应分析方法未规定的按照《土壤环境监测技术规范》（HJ/T 166）和《建设用地土壤污染风险管控和修复监测技术导则》（HJ25.2）要求执行。</w:t>
      </w:r>
      <w:r>
        <w:rPr>
          <w:rFonts w:hint="eastAsia" w:ascii="仿宋_GB2312" w:hAnsi="仿宋_GB2312" w:eastAsia="仿宋_GB2312" w:cs="仿宋_GB2312"/>
          <w:b w:val="0"/>
          <w:bCs/>
          <w:sz w:val="32"/>
          <w:szCs w:val="32"/>
        </w:rPr>
        <w:t>采样时记录点位坐标，拍摄数码照片（包括采样点周边环境、经纬度和时间信息），填写采样记录表。</w:t>
      </w:r>
    </w:p>
    <w:p w14:paraId="15006583">
      <w:pPr>
        <w:spacing w:after="160"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Cs/>
          <w:sz w:val="32"/>
          <w:szCs w:val="32"/>
        </w:rPr>
        <w:t>分析</w:t>
      </w:r>
      <w:r>
        <w:rPr>
          <w:rFonts w:hint="eastAsia" w:ascii="仿宋_GB2312" w:hAnsi="仿宋_GB2312" w:eastAsia="仿宋_GB2312" w:cs="仿宋_GB2312"/>
          <w:b w:val="0"/>
          <w:bCs/>
          <w:sz w:val="32"/>
          <w:szCs w:val="32"/>
          <w:lang w:val="zh-CN"/>
        </w:rPr>
        <w:t>方法</w:t>
      </w:r>
    </w:p>
    <w:p w14:paraId="4EB7DD28">
      <w:pPr>
        <w:pStyle w:val="2"/>
        <w:ind w:left="0" w:leftChars="0" w:firstLine="640" w:firstLineChars="200"/>
        <w:rPr>
          <w:rFonts w:hint="eastAsia"/>
        </w:rPr>
      </w:pPr>
      <w:r>
        <w:rPr>
          <w:rFonts w:hint="eastAsia" w:ascii="仿宋_GB2312" w:hAnsi="仿宋_GB2312" w:eastAsia="仿宋_GB2312" w:cs="仿宋_GB2312"/>
          <w:bCs/>
          <w:sz w:val="32"/>
          <w:szCs w:val="32"/>
        </w:rPr>
        <w:t>监测分析方法原则上应</w:t>
      </w:r>
      <w:r>
        <w:rPr>
          <w:rFonts w:hint="eastAsia" w:hAnsi="仿宋_GB2312" w:cs="仿宋_GB2312"/>
          <w:bCs/>
          <w:sz w:val="32"/>
          <w:szCs w:val="32"/>
          <w:lang w:val="en-US" w:eastAsia="zh-CN"/>
        </w:rPr>
        <w:t>优先</w:t>
      </w:r>
      <w:r>
        <w:rPr>
          <w:rFonts w:hint="eastAsia" w:ascii="仿宋_GB2312" w:hAnsi="仿宋_GB2312" w:eastAsia="仿宋_GB2312" w:cs="仿宋_GB2312"/>
          <w:bCs/>
          <w:sz w:val="32"/>
          <w:szCs w:val="32"/>
        </w:rPr>
        <w:t>选用国家和环境保护行业监测分析方法标准。</w:t>
      </w:r>
    </w:p>
    <w:p w14:paraId="5383584C">
      <w:p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五、样品保存及流转</w:t>
      </w:r>
    </w:p>
    <w:p w14:paraId="5234F089">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t>土壤样品流转和保存按照《土壤质量 土壤样品长期和短期保存指南》（GB/T 32722）、《土壤环境监测技术规范》（HJ/T 166）和《建设用地土壤污染风险管控和修复监测技术导则》（HJ25.2）和分析方法要求执行。样品装运前应在现场逐项核对标签、点位坐标和采样记录表等，运输过程中应做好保温、减震和隔离，严防破损、沾污或混淆且保证样品不发霉、不变质，及时送至样品制备或样品分析地点。</w:t>
      </w:r>
    </w:p>
    <w:p w14:paraId="5643A8B7">
      <w:p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六、质量保证与质量控制</w:t>
      </w:r>
    </w:p>
    <w:p w14:paraId="08578050">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样品采集、样品保存、样品制备、样品分析和数据处理等按照《土壤环境监测技术规范》（HJ166-2004）等要求执行，监测过程实施全程序质量控制，确保监测数据准确可靠。</w:t>
      </w:r>
    </w:p>
    <w:p w14:paraId="126ABA43">
      <w:pPr>
        <w:spacing w:after="160" w:line="560" w:lineRule="exact"/>
        <w:ind w:firstLine="640" w:firstLineChars="200"/>
        <w:rPr>
          <w:rFonts w:hint="eastAsia" w:ascii="仿宋_GB2312" w:hAnsi="仿宋_GB2312" w:eastAsia="仿宋_GB2312" w:cs="仿宋_GB2312"/>
          <w:b w:val="0"/>
          <w:bCs/>
          <w:sz w:val="32"/>
          <w:szCs w:val="32"/>
          <w:lang w:val="en-US" w:eastAsia="zh-CN"/>
        </w:rPr>
      </w:pPr>
    </w:p>
    <w:p w14:paraId="06914A58">
      <w:pPr>
        <w:spacing w:after="160" w:line="560" w:lineRule="exact"/>
        <w:ind w:firstLine="5440" w:firstLineChars="17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三亚市环境监测站</w:t>
      </w:r>
    </w:p>
    <w:p w14:paraId="2DAA8385">
      <w:pPr>
        <w:spacing w:after="160" w:line="56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                               2025年4月</w:t>
      </w:r>
      <w:r>
        <w:rPr>
          <w:rFonts w:hint="eastAsia" w:ascii="仿宋_GB2312" w:hAnsi="仿宋_GB2312" w:eastAsia="仿宋_GB2312" w:cs="仿宋_GB2312"/>
          <w:b w:val="0"/>
          <w:bCs/>
          <w:sz w:val="32"/>
          <w:szCs w:val="32"/>
          <w:lang w:eastAsia="zh-CN"/>
        </w:rPr>
        <w:t>18</w:t>
      </w:r>
      <w:r>
        <w:rPr>
          <w:rFonts w:hint="eastAsia" w:ascii="仿宋_GB2312" w:hAnsi="仿宋_GB2312" w:eastAsia="仿宋_GB2312" w:cs="仿宋_GB2312"/>
          <w:b w:val="0"/>
          <w:bCs/>
          <w:sz w:val="32"/>
          <w:szCs w:val="32"/>
          <w:lang w:val="en-US" w:eastAsia="zh-CN"/>
        </w:rPr>
        <w:t>日</w:t>
      </w:r>
    </w:p>
    <w:p w14:paraId="52D54C43">
      <w:pPr>
        <w:rPr>
          <w:rFonts w:hint="eastAsia" w:ascii="仿宋_GB2312" w:hAnsi="仿宋_GB2312" w:eastAsia="仿宋_GB2312" w:cs="仿宋_GB2312"/>
          <w:sz w:val="32"/>
          <w:szCs w:val="32"/>
        </w:rPr>
      </w:pPr>
    </w:p>
    <w:p w14:paraId="32D98D04">
      <w:pPr>
        <w:keepNext w:val="0"/>
        <w:keepLines w:val="0"/>
        <w:pageBreakBefore w:val="0"/>
        <w:widowControl w:val="0"/>
        <w:wordWrap/>
        <w:overflowPunct/>
        <w:topLinePunct w:val="0"/>
        <w:autoSpaceDE/>
        <w:autoSpaceDN/>
        <w:bidi w:val="0"/>
        <w:adjustRightInd/>
        <w:snapToGrid/>
        <w:spacing w:line="240" w:lineRule="auto"/>
        <w:ind w:left="0" w:leftChars="0"/>
        <w:jc w:val="center"/>
        <w:rPr>
          <w:sz w:val="36"/>
          <w:szCs w:val="36"/>
        </w:rPr>
      </w:pPr>
      <w:r>
        <w:rPr>
          <w:b/>
          <w:sz w:val="36"/>
          <w:szCs w:val="36"/>
        </w:rPr>
        <w:t>202</w:t>
      </w:r>
      <w:r>
        <w:rPr>
          <w:rFonts w:hint="eastAsia"/>
          <w:b/>
          <w:sz w:val="36"/>
          <w:szCs w:val="36"/>
          <w:lang w:val="en-US" w:eastAsia="zh-CN"/>
        </w:rPr>
        <w:t>5</w:t>
      </w:r>
      <w:r>
        <w:rPr>
          <w:b/>
          <w:sz w:val="36"/>
          <w:szCs w:val="36"/>
        </w:rPr>
        <w:t>年三亚和利实业发展有限责任公司红石铁矿尾矿库周边土壤环境质量辅助监测方案</w:t>
      </w:r>
    </w:p>
    <w:p w14:paraId="6B223F9A">
      <w:pPr>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sz w:val="30"/>
        </w:rPr>
      </w:pPr>
    </w:p>
    <w:p w14:paraId="1FAD64DC">
      <w:pPr>
        <w:spacing w:after="160" w:line="560" w:lineRule="exact"/>
        <w:ind w:firstLine="643" w:firstLineChars="200"/>
        <w:rPr>
          <w:rFonts w:hint="eastAsia" w:ascii="仿宋_GB2312" w:hAnsi="仿宋_GB2312" w:eastAsia="仿宋_GB2312" w:cs="仿宋_GB2312"/>
          <w:b/>
          <w:bCs/>
          <w:sz w:val="32"/>
          <w:szCs w:val="32"/>
        </w:rPr>
      </w:pPr>
      <w:r>
        <w:rPr>
          <w:b/>
          <w:bCs/>
          <w:sz w:val="32"/>
          <w:szCs w:val="32"/>
        </w:rPr>
        <w:t xml:space="preserve"> </w:t>
      </w:r>
      <w:r>
        <w:rPr>
          <w:rFonts w:hint="eastAsia" w:ascii="仿宋_GB2312" w:hAnsi="仿宋_GB2312" w:eastAsia="仿宋_GB2312" w:cs="仿宋_GB2312"/>
          <w:b/>
          <w:bCs/>
          <w:sz w:val="32"/>
          <w:szCs w:val="32"/>
        </w:rPr>
        <w:t>一、任务来源</w:t>
      </w:r>
    </w:p>
    <w:p w14:paraId="445248C4">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据《2025年三亚市生态环境监测方案》要求，对2025年三亚和利实业发展有限责任公司红石铁矿尾矿库周边土壤环境质量开展监测。</w:t>
      </w:r>
    </w:p>
    <w:p w14:paraId="0F77360E">
      <w:pPr>
        <w:spacing w:after="16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二、监测点位及监测项目</w:t>
      </w:r>
    </w:p>
    <w:p w14:paraId="71F527DB">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监测点位</w:t>
      </w:r>
    </w:p>
    <w:p w14:paraId="0AE0EC3C">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以厂界为起点，在排水或地表径流下游方向</w:t>
      </w:r>
      <w:r>
        <w:rPr>
          <w:rFonts w:hint="eastAsia" w:ascii="仿宋_GB2312" w:hAnsi="仿宋_GB2312" w:eastAsia="仿宋_GB2312" w:cs="仿宋_GB2312"/>
          <w:b w:val="0"/>
          <w:bCs/>
          <w:sz w:val="32"/>
          <w:szCs w:val="32"/>
          <w:lang w:val="en"/>
        </w:rPr>
        <w:t>500m</w:t>
      </w:r>
      <w:r>
        <w:rPr>
          <w:rFonts w:hint="eastAsia" w:ascii="仿宋_GB2312" w:hAnsi="仿宋_GB2312" w:eastAsia="仿宋_GB2312" w:cs="仿宋_GB2312"/>
          <w:b w:val="0"/>
          <w:bCs/>
          <w:sz w:val="32"/>
          <w:szCs w:val="32"/>
        </w:rPr>
        <w:t>划定疑似影响区，在疑似影响区沿水流方向由密渐疏布设</w:t>
      </w:r>
      <w:r>
        <w:rPr>
          <w:rFonts w:hint="eastAsia" w:ascii="仿宋_GB2312" w:hAnsi="仿宋_GB2312" w:eastAsia="仿宋_GB2312" w:cs="仿宋_GB2312"/>
          <w:b w:val="0"/>
          <w:bCs/>
          <w:sz w:val="32"/>
          <w:szCs w:val="32"/>
          <w:lang w:val="en"/>
        </w:rPr>
        <w:t>3</w:t>
      </w:r>
      <w:r>
        <w:rPr>
          <w:rFonts w:hint="eastAsia" w:ascii="仿宋_GB2312" w:hAnsi="仿宋_GB2312" w:eastAsia="仿宋_GB2312" w:cs="仿宋_GB2312"/>
          <w:b w:val="0"/>
          <w:bCs/>
          <w:sz w:val="32"/>
          <w:szCs w:val="32"/>
        </w:rPr>
        <w:t>个土壤点位，共</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个样品。</w:t>
      </w:r>
    </w:p>
    <w:p w14:paraId="7EEA35A8">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监测项目</w:t>
      </w:r>
    </w:p>
    <w:p w14:paraId="741152B2">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包括土壤pH、有机质、镉、汞、砷、铅、铬、铜、镍、锌、铁等11项。</w:t>
      </w:r>
    </w:p>
    <w:p w14:paraId="1D460C89">
      <w:pPr>
        <w:numPr>
          <w:ilvl w:val="0"/>
          <w:numId w:val="2"/>
        </w:num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监测时间及频次</w:t>
      </w:r>
    </w:p>
    <w:p w14:paraId="41E17684">
      <w:pPr>
        <w:numPr>
          <w:ilvl w:val="0"/>
          <w:numId w:val="0"/>
        </w:num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2025年</w:t>
      </w:r>
      <w:r>
        <w:rPr>
          <w:rFonts w:hint="eastAsia"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9-10月各</w:t>
      </w:r>
      <w:r>
        <w:rPr>
          <w:rFonts w:hint="eastAsia" w:ascii="仿宋_GB2312" w:hAnsi="仿宋_GB2312" w:eastAsia="仿宋_GB2312" w:cs="仿宋_GB2312"/>
          <w:b w:val="0"/>
          <w:bCs/>
          <w:sz w:val="32"/>
          <w:szCs w:val="32"/>
        </w:rPr>
        <w:t>开展监测1次。</w:t>
      </w:r>
    </w:p>
    <w:p w14:paraId="00279E8C">
      <w:p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四、采样方法</w:t>
      </w:r>
    </w:p>
    <w:p w14:paraId="1EE67CDA">
      <w:pPr>
        <w:spacing w:after="160"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lang w:val="zh-CN"/>
        </w:rPr>
        <w:t>采样方法</w:t>
      </w:r>
    </w:p>
    <w:p w14:paraId="16C387AA">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t>土壤样品采集表层（0</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zh-CN"/>
        </w:rPr>
        <w:t>20cm）土壤，应满足所选用分析方法规定的采样要求。相应分析方法未规定的按照《土壤环境监测技术规范》（HJ/T 166）和《建设用地土壤污染风险管控和修复监测技术导则》（HJ25.2）要求执行。</w:t>
      </w:r>
      <w:r>
        <w:rPr>
          <w:rFonts w:hint="eastAsia" w:ascii="仿宋_GB2312" w:hAnsi="仿宋_GB2312" w:eastAsia="仿宋_GB2312" w:cs="仿宋_GB2312"/>
          <w:b w:val="0"/>
          <w:bCs/>
          <w:sz w:val="32"/>
          <w:szCs w:val="32"/>
        </w:rPr>
        <w:t>采样时记录点位坐标，拍摄数码照片（包括采样点周边环境、经纬度和时间信息），填写采样记录表。</w:t>
      </w:r>
    </w:p>
    <w:p w14:paraId="4232615A">
      <w:pPr>
        <w:spacing w:after="160"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Cs/>
          <w:sz w:val="32"/>
          <w:szCs w:val="32"/>
        </w:rPr>
        <w:t>分析</w:t>
      </w:r>
      <w:r>
        <w:rPr>
          <w:rFonts w:hint="eastAsia" w:ascii="仿宋_GB2312" w:hAnsi="仿宋_GB2312" w:eastAsia="仿宋_GB2312" w:cs="仿宋_GB2312"/>
          <w:b w:val="0"/>
          <w:bCs/>
          <w:sz w:val="32"/>
          <w:szCs w:val="32"/>
          <w:lang w:val="zh-CN"/>
        </w:rPr>
        <w:t>方法</w:t>
      </w:r>
    </w:p>
    <w:p w14:paraId="397938BD">
      <w:pPr>
        <w:pStyle w:val="2"/>
        <w:ind w:left="0" w:leftChars="0" w:firstLine="640" w:firstLineChars="200"/>
        <w:rPr>
          <w:rFonts w:hint="eastAsia"/>
        </w:rPr>
      </w:pPr>
      <w:r>
        <w:rPr>
          <w:rFonts w:hint="eastAsia" w:ascii="仿宋_GB2312" w:hAnsi="仿宋_GB2312" w:eastAsia="仿宋_GB2312" w:cs="仿宋_GB2312"/>
          <w:bCs/>
          <w:sz w:val="32"/>
          <w:szCs w:val="32"/>
        </w:rPr>
        <w:t>监测分析方法原则上应</w:t>
      </w:r>
      <w:r>
        <w:rPr>
          <w:rFonts w:hint="eastAsia" w:hAnsi="仿宋_GB2312" w:cs="仿宋_GB2312"/>
          <w:bCs/>
          <w:sz w:val="32"/>
          <w:szCs w:val="32"/>
          <w:lang w:val="en-US" w:eastAsia="zh-CN"/>
        </w:rPr>
        <w:t>优先</w:t>
      </w:r>
      <w:r>
        <w:rPr>
          <w:rFonts w:hint="eastAsia" w:ascii="仿宋_GB2312" w:hAnsi="仿宋_GB2312" w:eastAsia="仿宋_GB2312" w:cs="仿宋_GB2312"/>
          <w:bCs/>
          <w:sz w:val="32"/>
          <w:szCs w:val="32"/>
        </w:rPr>
        <w:t>选用国家和环境保护行业监测分析方法标准。</w:t>
      </w:r>
    </w:p>
    <w:p w14:paraId="54957824">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五、样品保存及流转</w:t>
      </w:r>
    </w:p>
    <w:p w14:paraId="660FAD53">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t>土壤样品流转和保存按照《土壤质量 土壤样品长期和短期保存指南》（GB/T 32722）、《土壤环境监测技术规范》（HJ/T 166）和《建设用地土壤污染风险管控和修复监测技术导则》（HJ25.2）和分析方法要求执行。样品装运前应在现场逐项核对标签、点位坐标和采样记录表等，运输过程中应做好保温、减震和隔离，严防破损、沾污或混淆且保证样品不发霉、不变质，及时送至样品制备或样品分析地点。</w:t>
      </w:r>
    </w:p>
    <w:p w14:paraId="4836CA00">
      <w:p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 xml:space="preserve">六、质量保证与质量控制  </w:t>
      </w:r>
    </w:p>
    <w:p w14:paraId="1054CCB3">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样品采集、样品保存、样品制备、样品分析和数据处理等全过程严格按照《土壤环境监测技术规范》（HJ166-2004）等要求执行，监测过程实施全程序质量控制，确保监测数据准确可靠。</w:t>
      </w:r>
    </w:p>
    <w:p w14:paraId="62613C65">
      <w:p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七、评价标准</w:t>
      </w:r>
    </w:p>
    <w:p w14:paraId="3EABE7F1">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执行《土壤环境质量 农用地土壤污染风险管控标准（试行）》（GB 15618—2018）风险筛选值。</w:t>
      </w:r>
    </w:p>
    <w:p w14:paraId="2317C45C">
      <w:pPr>
        <w:spacing w:after="160" w:line="560" w:lineRule="exact"/>
        <w:ind w:firstLine="640" w:firstLineChars="200"/>
        <w:rPr>
          <w:rFonts w:hint="eastAsia" w:ascii="仿宋_GB2312" w:hAnsi="仿宋_GB2312" w:eastAsia="仿宋_GB2312" w:cs="仿宋_GB2312"/>
          <w:b w:val="0"/>
          <w:bCs/>
          <w:sz w:val="32"/>
          <w:szCs w:val="32"/>
        </w:rPr>
      </w:pPr>
    </w:p>
    <w:p w14:paraId="7B2D9465">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三亚市环境监测站</w:t>
      </w:r>
    </w:p>
    <w:p w14:paraId="743043CB">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2025年4月18日</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89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C641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2C641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253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C392E"/>
    <w:multiLevelType w:val="singleLevel"/>
    <w:tmpl w:val="3E3C392E"/>
    <w:lvl w:ilvl="0" w:tentative="0">
      <w:start w:val="3"/>
      <w:numFmt w:val="chineseCounting"/>
      <w:suff w:val="nothing"/>
      <w:lvlText w:val="%1、"/>
      <w:lvlJc w:val="left"/>
      <w:rPr>
        <w:rFonts w:hint="eastAsia"/>
      </w:rPr>
    </w:lvl>
  </w:abstractNum>
  <w:abstractNum w:abstractNumId="1">
    <w:nsid w:val="7C1104C8"/>
    <w:multiLevelType w:val="singleLevel"/>
    <w:tmpl w:val="7C1104C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66175"/>
    <w:rsid w:val="00E96F7C"/>
    <w:rsid w:val="01CB4724"/>
    <w:rsid w:val="01F856CB"/>
    <w:rsid w:val="063D2F0C"/>
    <w:rsid w:val="0A053D41"/>
    <w:rsid w:val="0A615C48"/>
    <w:rsid w:val="0ABA4B02"/>
    <w:rsid w:val="0B534F80"/>
    <w:rsid w:val="0B8E1B84"/>
    <w:rsid w:val="0C0A675F"/>
    <w:rsid w:val="0F11514C"/>
    <w:rsid w:val="13376F73"/>
    <w:rsid w:val="15085E10"/>
    <w:rsid w:val="15A308B2"/>
    <w:rsid w:val="16783AEC"/>
    <w:rsid w:val="1DC11BA0"/>
    <w:rsid w:val="209666BD"/>
    <w:rsid w:val="22C82007"/>
    <w:rsid w:val="22EC5646"/>
    <w:rsid w:val="254359A0"/>
    <w:rsid w:val="27061631"/>
    <w:rsid w:val="2C820DC9"/>
    <w:rsid w:val="305931FB"/>
    <w:rsid w:val="35413847"/>
    <w:rsid w:val="378B3228"/>
    <w:rsid w:val="39466175"/>
    <w:rsid w:val="3EB968CD"/>
    <w:rsid w:val="41B004C2"/>
    <w:rsid w:val="41F26F65"/>
    <w:rsid w:val="42140D63"/>
    <w:rsid w:val="43820B56"/>
    <w:rsid w:val="43F65ECD"/>
    <w:rsid w:val="47E758BF"/>
    <w:rsid w:val="48142DC6"/>
    <w:rsid w:val="490136E2"/>
    <w:rsid w:val="50FF3888"/>
    <w:rsid w:val="51305287"/>
    <w:rsid w:val="56224BB5"/>
    <w:rsid w:val="566366F9"/>
    <w:rsid w:val="586E7AC4"/>
    <w:rsid w:val="58BF25F5"/>
    <w:rsid w:val="5AE709EC"/>
    <w:rsid w:val="5BA91AB3"/>
    <w:rsid w:val="5D646797"/>
    <w:rsid w:val="608D6158"/>
    <w:rsid w:val="690D143F"/>
    <w:rsid w:val="6AA35E30"/>
    <w:rsid w:val="6BF106B1"/>
    <w:rsid w:val="71330988"/>
    <w:rsid w:val="729B7ABC"/>
    <w:rsid w:val="731F249B"/>
    <w:rsid w:val="74277859"/>
    <w:rsid w:val="758C1301"/>
    <w:rsid w:val="775D19FB"/>
    <w:rsid w:val="791904BA"/>
    <w:rsid w:val="79450781"/>
    <w:rsid w:val="79CFF7B8"/>
    <w:rsid w:val="7BEB5610"/>
    <w:rsid w:val="7CB4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qFormat/>
    <w:uiPriority w:val="99"/>
    <w:pPr>
      <w:spacing w:line="480" w:lineRule="exact"/>
      <w:ind w:firstLine="630"/>
    </w:pPr>
    <w:rPr>
      <w:rFonts w:ascii="仿宋_GB2312" w:eastAsia="仿宋_GB2312"/>
      <w:kern w:val="0"/>
      <w:sz w:val="30"/>
      <w:szCs w:val="30"/>
    </w:r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三亚市直属党政机关单位</Company>
  <Pages>7</Pages>
  <Words>1814</Words>
  <Characters>2041</Characters>
  <Lines>0</Lines>
  <Paragraphs>0</Paragraphs>
  <TotalTime>1</TotalTime>
  <ScaleCrop>false</ScaleCrop>
  <LinksUpToDate>false</LinksUpToDate>
  <CharactersWithSpaces>2168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2025-04-21T14:33:00Z</dcterms:created>
  <dc:creator>Administrator</dc:creator>
  <cp:lastModifiedBy>Administrator</cp:lastModifiedBy>
  <dcterms:modified xsi:type="dcterms:W3CDTF">2025-04-22T08:45:07Z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ED38D1C9C375436FB8AB743AD30D2458_13</vt:lpwstr>
  </property>
  <property fmtid="{D5CDD505-2E9C-101B-9397-08002B2CF9AE}" pid="4" name="KSOTemplateDocerSaveRecord">
    <vt:lpwstr>eyJoZGlkIjoiMjMwYTdkMTUyYTAzNGI3ZDYwODUwODBjNmNkOWVkYjMifQ==</vt:lpwstr>
  </property>
</Properties>
</file>