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8" w:lineRule="exact"/>
        <w:ind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w w:val="96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w w:val="96"/>
          <w:sz w:val="44"/>
          <w:szCs w:val="44"/>
          <w:highlight w:val="none"/>
          <w:lang w:val="en-US" w:eastAsia="zh-CN"/>
        </w:rPr>
        <w:t>2024年三亚市“无废细胞”名单</w:t>
      </w:r>
    </w:p>
    <w:tbl>
      <w:tblPr>
        <w:tblStyle w:val="14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028"/>
        <w:gridCol w:w="5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细胞类型</w:t>
            </w:r>
          </w:p>
        </w:tc>
        <w:tc>
          <w:tcPr>
            <w:tcW w:w="5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无废酒店</w:t>
            </w:r>
          </w:p>
        </w:tc>
        <w:tc>
          <w:tcPr>
            <w:tcW w:w="5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三亚凤凰机场酒店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shd w:val="clear"/>
                <w:vertAlign w:val="baseline"/>
                <w:lang w:val="en-US" w:eastAsia="zh-CN"/>
              </w:rPr>
              <w:t>2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无废工地</w:t>
            </w:r>
          </w:p>
        </w:tc>
        <w:tc>
          <w:tcPr>
            <w:tcW w:w="5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中建三局集团有限公司三亚海棠湾HT07-05-05地块项目（一标段）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无废社区</w:t>
            </w:r>
          </w:p>
        </w:tc>
        <w:tc>
          <w:tcPr>
            <w:tcW w:w="5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崖州区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梅联社区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无废机关</w:t>
            </w:r>
          </w:p>
        </w:tc>
        <w:tc>
          <w:tcPr>
            <w:tcW w:w="5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三亚市生态环境局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无废岛屿</w:t>
            </w:r>
          </w:p>
        </w:tc>
        <w:tc>
          <w:tcPr>
            <w:tcW w:w="5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西岛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社区/三亚西岛大洲旅业有限公司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无废医院</w:t>
            </w:r>
          </w:p>
        </w:tc>
        <w:tc>
          <w:tcPr>
            <w:tcW w:w="5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</w:rPr>
              <w:t>三亚市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</w:rPr>
              <w:t>吉阳区海罗社区卫生健康服务中心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无废商场</w:t>
            </w:r>
          </w:p>
        </w:tc>
        <w:tc>
          <w:tcPr>
            <w:tcW w:w="5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中服（三亚）免税品有限公司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9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无废实验室</w:t>
            </w:r>
          </w:p>
        </w:tc>
        <w:tc>
          <w:tcPr>
            <w:tcW w:w="5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崖州湾分子检测鉴定中心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无废乡村</w:t>
            </w:r>
          </w:p>
        </w:tc>
        <w:tc>
          <w:tcPr>
            <w:tcW w:w="5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崖州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 xml:space="preserve"> 南山村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0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无废学校</w:t>
            </w:r>
          </w:p>
        </w:tc>
        <w:tc>
          <w:tcPr>
            <w:tcW w:w="5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三亚市第七小学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0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无废汽车4S店</w:t>
            </w:r>
          </w:p>
        </w:tc>
        <w:tc>
          <w:tcPr>
            <w:tcW w:w="5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三亚中升雷克萨斯汽车销售服务有限公司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无废药店</w:t>
            </w:r>
          </w:p>
        </w:tc>
        <w:tc>
          <w:tcPr>
            <w:tcW w:w="5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一心堂三亚新华路分店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shd w:val="clear"/>
                <w:vertAlign w:val="baseline"/>
                <w:lang w:val="en-US" w:eastAsia="zh-CN"/>
              </w:rPr>
              <w:t>13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无废农庄</w:t>
            </w:r>
          </w:p>
        </w:tc>
        <w:tc>
          <w:tcPr>
            <w:tcW w:w="5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万保农牧集团有限公司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shd w:val="clear"/>
                <w:vertAlign w:val="baseline"/>
                <w:lang w:val="en-US" w:eastAsia="zh-CN"/>
              </w:rPr>
              <w:t>14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无废加油站</w:t>
            </w:r>
          </w:p>
        </w:tc>
        <w:tc>
          <w:tcPr>
            <w:tcW w:w="5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中国石化销售股份有限公司海南三亚临春加油站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无废快递站点</w:t>
            </w:r>
          </w:p>
        </w:tc>
        <w:tc>
          <w:tcPr>
            <w:tcW w:w="5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海南顺丰速运有限公司三亚迎宾分公司（阳光名邸营业店）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7519C"/>
    <w:multiLevelType w:val="multilevel"/>
    <w:tmpl w:val="B657519C"/>
    <w:lvl w:ilvl="0" w:tentative="0">
      <w:start w:val="1"/>
      <w:numFmt w:val="decimal"/>
      <w:pStyle w:val="4"/>
      <w:suff w:val="space"/>
      <w:lvlText w:val="%1"/>
      <w:lvlJc w:val="center"/>
      <w:pPr>
        <w:tabs>
          <w:tab w:val="left" w:pos="420"/>
        </w:tabs>
        <w:ind w:left="432" w:hanging="432"/>
      </w:pPr>
      <w:rPr>
        <w:rFonts w:hint="default" w:ascii="Times New Roman Regular" w:hAnsi="Times New Roman Regular" w:eastAsia="宋体" w:cs="宋体"/>
        <w:sz w:val="32"/>
        <w:szCs w:val="32"/>
      </w:rPr>
    </w:lvl>
    <w:lvl w:ilvl="1" w:tentative="0">
      <w:start w:val="1"/>
      <w:numFmt w:val="decimal"/>
      <w:lvlRestart w:val="0"/>
      <w:pStyle w:val="5"/>
      <w:suff w:val="space"/>
      <w:lvlText w:val="%1.%2"/>
      <w:lvlJc w:val="left"/>
      <w:pPr>
        <w:tabs>
          <w:tab w:val="left" w:pos="420"/>
        </w:tabs>
        <w:ind w:left="575" w:hanging="575"/>
      </w:pPr>
      <w:rPr>
        <w:rFonts w:hint="default" w:ascii="Times New Roman Regular" w:hAnsi="Times New Roman Regular" w:eastAsia="宋体" w:cs="宋体"/>
        <w:sz w:val="28"/>
        <w:szCs w:val="28"/>
      </w:rPr>
    </w:lvl>
    <w:lvl w:ilvl="2" w:tentative="0">
      <w:start w:val="1"/>
      <w:numFmt w:val="decimal"/>
      <w:lvlRestart w:val="0"/>
      <w:pStyle w:val="6"/>
      <w:suff w:val="space"/>
      <w:lvlText w:val="%1.%2.%3"/>
      <w:lvlJc w:val="left"/>
      <w:pPr>
        <w:tabs>
          <w:tab w:val="left" w:pos="420"/>
        </w:tabs>
        <w:ind w:left="720" w:hanging="720"/>
      </w:pPr>
      <w:rPr>
        <w:rFonts w:hint="default" w:ascii="宋体" w:hAnsi="宋体" w:eastAsia="宋体" w:cs="Times New Roman Regular"/>
      </w:rPr>
    </w:lvl>
    <w:lvl w:ilvl="3" w:tentative="0">
      <w:start w:val="1"/>
      <w:numFmt w:val="decimal"/>
      <w:lvlRestart w:val="0"/>
      <w:pStyle w:val="7"/>
      <w:suff w:val="space"/>
      <w:lvlText w:val="%1.%2.%3.%4"/>
      <w:lvlJc w:val="left"/>
      <w:pPr>
        <w:tabs>
          <w:tab w:val="left" w:pos="420"/>
        </w:tabs>
        <w:ind w:left="864" w:hanging="864"/>
      </w:pPr>
      <w:rPr>
        <w:rFonts w:hint="default" w:ascii="宋体" w:hAnsi="宋体" w:eastAsia="宋体" w:cs="Times New Roman Regular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WVhYjM4ZDczMzU0NzE4NDgwNGI3ZjUyZTJiN2YifQ=="/>
  </w:docVars>
  <w:rsids>
    <w:rsidRoot w:val="CB5F3CBC"/>
    <w:rsid w:val="047A776F"/>
    <w:rsid w:val="4DFFD383"/>
    <w:rsid w:val="5DFE5A8E"/>
    <w:rsid w:val="6DBDFCD9"/>
    <w:rsid w:val="761A402D"/>
    <w:rsid w:val="7FF40EBE"/>
    <w:rsid w:val="7FFFC568"/>
    <w:rsid w:val="8F5BFADC"/>
    <w:rsid w:val="A4DE2EC9"/>
    <w:rsid w:val="AFBF00D1"/>
    <w:rsid w:val="C73B3947"/>
    <w:rsid w:val="CB5F3CBC"/>
    <w:rsid w:val="D4BFA241"/>
    <w:rsid w:val="DDB7E520"/>
    <w:rsid w:val="E77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before="150" w:beforeLines="150" w:after="150" w:afterLines="150" w:line="360" w:lineRule="auto"/>
      <w:ind w:left="720" w:hanging="720" w:firstLineChars="0"/>
      <w:jc w:val="left"/>
      <w:textAlignment w:val="baseline"/>
      <w:outlineLvl w:val="2"/>
    </w:pPr>
    <w:rPr>
      <w:rFonts w:ascii="Times New Roman" w:hAnsi="Times New Roman" w:eastAsia="黑体" w:cs="Times New Roman"/>
      <w:kern w:val="0"/>
      <w:sz w:val="28"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2955"/>
    </w:pPr>
    <w:rPr>
      <w:rFonts w:eastAsia="黑体"/>
      <w:sz w:val="72"/>
    </w:rPr>
  </w:style>
  <w:style w:type="table" w:styleId="14">
    <w:name w:val="Table Grid"/>
    <w:basedOn w:val="1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3 Char"/>
    <w:link w:val="6"/>
    <w:qFormat/>
    <w:uiPriority w:val="0"/>
    <w:rPr>
      <w:rFonts w:ascii="Times New Roman" w:hAnsi="Times New Roman" w:eastAsia="黑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307</Characters>
  <Lines>0</Lines>
  <Paragraphs>0</Paragraphs>
  <TotalTime>21</TotalTime>
  <ScaleCrop>false</ScaleCrop>
  <LinksUpToDate>false</LinksUpToDate>
  <CharactersWithSpaces>308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2024-11-13T00:51:00Z</dcterms:created>
  <dc:creator>林琳宜</dc:creator>
  <cp:lastModifiedBy>user</cp:lastModifiedBy>
  <dcterms:modified xsi:type="dcterms:W3CDTF">2024-11-20T11:44:13Z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FFEBBC39B7EA469879A63267A498218E_41</vt:lpwstr>
  </property>
</Properties>
</file>